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福州市人社局媒体宣传（公众号运维）项目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CGXM-2025-350101-01812[2025]03051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[350101]FJSXY[CS]2025005</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福州市人力资源和社会保障局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福建省贤阅项目管理有限公司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2025年10月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福州市人力资源和社会保障局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福州市人社局媒体宣传（公众号运维）项目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福建省贤阅项目管理有限公司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福州市人社局媒体宣传（公众号运维）项目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CGXM-2025-350101-01812[2025]03051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[350101]FJSXY[CS]2025005</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福州人社公众号运维服务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租赁和商务服务业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福州人社公众号运维服务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福州人社公众号运维服务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福州人社公众号运维服务</w:t>
            </w:r>
          </w:p>
        </w:tc>
        <w:tc>
          <w:tcPr>
            <w:tcW w:type="dxa" w:w="2076"/>
          </w:tcPr>
          <w:p>
            <w:pPr>
              <w:pStyle w:val="null3"/>
              <w:jc w:val="left"/>
            </w:pPr>
            <w:r>
              <w:rPr>
                <w:rFonts w:ascii="仿宋_GB2312" w:hAnsi="仿宋_GB2312" w:cs="仿宋_GB2312" w:eastAsia="仿宋_GB2312"/>
              </w:rPr>
              <w:t>福州人社公众号运维服务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本项目专门面向中小企业采购，中小企业参与磋商的应按以下要求提供相关证明材料： 1、供应商提供的货物、服务或工程应符合《政府采购促进中小企业发展管理办法》（财库〔2020〕46号）第四条规定的情形，且应当提供《政府采购促进中小企业发展管理办法》（财库〔2020〕46号）规定的《中小企业声明函》。2、供应商为监狱企业的视同小型和微型企业，可不提供《中小企业声明函》，但应当提供由省级以上监狱管理局、戒毒管理局（含新疆生产建设兵团）出具的属于监狱企业的证明文件。3、供应商为残疾人福利性单位的视同小型、微型企业，可不提供《中小企业声明函》，但应当提供《残疾人福利性单位声明函》，格式见第五章《响应文件格式》。本项目属于服务类采购项目，采购标的对应的中小企业划分标准所属行业为租赁和商务服务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福州市人力资源和社会保障局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福州市仓山区南江滨西大道193号1栋5，6，7，9层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肖彩云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0591-87305708</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福建省贤阅项目管理有限公司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福州市晋安区岳峰镇金鸡山路59号鼎鑫创意园D区301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陈晓宏、叶俊捷、陈佳怡、林文哲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0591-87529626</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福建省贤阅项目管理有限公司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本项目专门面向中小企业采购，中小企业参与磋商的应按以下要求提供相关证明材料： 1、供应商提供的货物、服务或工程应符合《政府采购促进中小企业发展管理办法》（财库〔2020〕46号）第四条规定的情形，且应当提供《政府采购促进中小企业发展管理办法》（财库〔2020〕46号）规定的《中小企业声明函》。2、供应商为监狱企业的视同小型和微型企业，可不提供《中小企业声明函》，但应当提供由省级以上监狱管理局、戒毒管理局（含新疆生产建设兵团）出具的属于监狱企业的证明文件。3、供应商为残疾人福利性单位的视同小型、微型企业，可不提供《中小企业声明函》，但应当提供《残疾人福利性单位声明函》，格式见第五章《响应文件格式》。本项目属于服务类采购项目，采购标的对应的中小企业划分标准所属行业为租赁和商务服务业。</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代理服务费收费标准：①以成交金额作为收费的计算基数，按差额定率累进法计算； ②收费费率标准：成交金额在100万元以下的部分，收费费率标准1.5%；（代理服务费不足5000元按5000元收取）③成交供应商应在领取成交通知书的同时按规定的标准一次性向招标代理机构缴交招标代理服务费；招标代理服务费以银行转账、电汇或汇票等付款方式。代理服务费缴交账号：开户名：福建省贤阅项目管理有限公司，开户行：招商银行股份有限公司福州古田支行，账号：591907681710101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质疑受理的其它要求：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2.2）远程开标的规定：①本项目支持远程开标，供应商可通过远程线上参与开标，具体系统操作指南详见福建省政府采购网首页上相关操作手册。②本项目开标过程中解密及远程签章的操作时限均为30分钟，请供应商务必密切关注实时开标流程，完成远程解密、远程签章。③供应商应确保自身设施、设备、网络环境状况良好，在开标过程中因供应商自身原因未在规定的操作时间内完成响应文件的解密，逾期未解密的，视为自行放弃投标。供应商未在规定的操作时间内完成远程签章的，视为默认开标结果。④在开标过程中，因系统故障等导致无法继续进行开标的，供应商须配合等待故障处理，待故障解除后继续开标。</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1在电子响应文件中，涉及“单位负责人签字”的内容可使用打字录入方式完成，不视为无效响应。a2磋商文件中关于供应商串通投标情形条款详见《关于福建省财政厅关于电子化政府采购项目中视为串标情形认定与处理的指导意见》闽财购〔2018〕30 号文件规定。</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满分为75.0000分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1、技术服务响应情况</w:t>
            </w:r>
          </w:p>
        </w:tc>
        <w:tc>
          <w:tcPr>
            <w:tcW w:type="dxa" w:w="831"/>
          </w:tcPr>
          <w:p>
            <w:pPr>
              <w:pStyle w:val="null3"/>
              <w:jc w:val="right"/>
            </w:pPr>
            <w:r>
              <w:rPr>
                <w:rFonts w:ascii="仿宋_GB2312" w:hAnsi="仿宋_GB2312" w:cs="仿宋_GB2312" w:eastAsia="仿宋_GB2312"/>
              </w:rPr>
              <w:t>42.00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所提交的响应文件中对磋商文件《采购内容及要求》“二、技术要求”的各项要求的响应、承诺情况进行评分：①完全满足磋商文件要求的得42分。②标注【评审项】的条款（共14项），存在负偏离的，每项扣3分，扣完为止，正偏离不加分；③标注“★”的条款（共7项）为不允许负偏离的实质性要求，若存在负偏离的，则按无效响应处理。 注：响应文件中技术指标若有要求供应商提供相应佐证材料的，供应商未提供相应佐证材料或者供应商的响应承诺与其佐证材料不一致的，磋商小组将以不利于供应商的内容为准进行评审。</w:t>
            </w:r>
          </w:p>
        </w:tc>
      </w:tr>
      <w:tr>
        <w:tc>
          <w:tcPr>
            <w:tcW w:type="dxa" w:w="3322"/>
          </w:tcPr>
          <w:p>
            <w:pPr>
              <w:pStyle w:val="null3"/>
              <w:jc w:val="left"/>
            </w:pPr>
            <w:r>
              <w:rPr>
                <w:rFonts w:ascii="仿宋_GB2312" w:hAnsi="仿宋_GB2312" w:cs="仿宋_GB2312" w:eastAsia="仿宋_GB2312"/>
              </w:rPr>
              <w:t>2、总体服务方案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出的总体服务方案（包括但不限于现状及需求分析、运营策划方案等方面）情况，由评委进行评分：方案内容完整、清晰的阐述项目基本要求，同时在确保方案实施的基础上增加有利于项目执行内容的得3分；方案内容较完整、清晰的阐述基本要求且符合项目实际操作的得2.8分；方案阐述简短或方案可操作性一般的得2.6分；未提供或提供方案不适用的不得分。</w:t>
            </w:r>
          </w:p>
        </w:tc>
      </w:tr>
      <w:tr>
        <w:tc>
          <w:tcPr>
            <w:tcW w:type="dxa" w:w="3322"/>
          </w:tcPr>
          <w:p>
            <w:pPr>
              <w:pStyle w:val="null3"/>
              <w:jc w:val="left"/>
            </w:pPr>
            <w:r>
              <w:rPr>
                <w:rFonts w:ascii="仿宋_GB2312" w:hAnsi="仿宋_GB2312" w:cs="仿宋_GB2312" w:eastAsia="仿宋_GB2312"/>
              </w:rPr>
              <w:t>3、发布与审查方案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发布与审查机制（包括但不限于信息发布流程、信息发布审查方式、发布内容质量保障等方面）情况，由评委进行评分：方案内容完整、清晰的阐述项目基本要求，同时在确保方案实施的基础上增加有利于项目执行内容的得3分；方案内容较完整、清晰的阐述基本要求且符合项目实际操作的得2.8分；方案阐述简短或方案可操作性一般的得2.6分；未提供或提供方案不适用的不得分。</w:t>
            </w:r>
          </w:p>
        </w:tc>
      </w:tr>
      <w:tr>
        <w:tc>
          <w:tcPr>
            <w:tcW w:type="dxa" w:w="3322"/>
          </w:tcPr>
          <w:p>
            <w:pPr>
              <w:pStyle w:val="null3"/>
              <w:jc w:val="left"/>
            </w:pPr>
            <w:r>
              <w:rPr>
                <w:rFonts w:ascii="仿宋_GB2312" w:hAnsi="仿宋_GB2312" w:cs="仿宋_GB2312" w:eastAsia="仿宋_GB2312"/>
              </w:rPr>
              <w:t>4、应急预案方案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结合本项目实际情况提供的针对各类突发事件或应急保障任务的预案（包括但不限于应急处理方式、保障措施）情况，由评委进行评分：方案内容完整、清晰的阐述项目基本要求，同时在确保方案实施的基础上增加有利于项目执行内容的得3分；方案内容较完整、清晰的阐述基本要求且符合项目实际操作的得2.8分；方案阐述简短或方案可操作性一般的得2.6分；未提供或提供方案不适用的不得分。</w:t>
            </w:r>
          </w:p>
        </w:tc>
      </w:tr>
      <w:tr>
        <w:tc>
          <w:tcPr>
            <w:tcW w:type="dxa" w:w="3322"/>
          </w:tcPr>
          <w:p>
            <w:pPr>
              <w:pStyle w:val="null3"/>
              <w:jc w:val="left"/>
            </w:pPr>
            <w:r>
              <w:rPr>
                <w:rFonts w:ascii="仿宋_GB2312" w:hAnsi="仿宋_GB2312" w:cs="仿宋_GB2312" w:eastAsia="仿宋_GB2312"/>
              </w:rPr>
              <w:t>5、安全保密措施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保密方案（包括但不限于保密制度、保密措施等）情况，由评委进行评分：方案内容完整、清晰的阐述项目基本要求，同时在确保方案实施的基础上增加有利于项目执行内容的得3分；方案内容较完整、清晰的阐述基本要求且符合项目实际操作的得2.9分；方案阐述简短或方案可操作性一般的得2.8分；未提供或提供方案不适用的不得分。</w:t>
            </w:r>
          </w:p>
        </w:tc>
      </w:tr>
      <w:tr>
        <w:tc>
          <w:tcPr>
            <w:tcW w:type="dxa" w:w="3322"/>
          </w:tcPr>
          <w:p>
            <w:pPr>
              <w:pStyle w:val="null3"/>
              <w:jc w:val="left"/>
            </w:pPr>
            <w:r>
              <w:rPr>
                <w:rFonts w:ascii="仿宋_GB2312" w:hAnsi="仿宋_GB2312" w:cs="仿宋_GB2312" w:eastAsia="仿宋_GB2312"/>
              </w:rPr>
              <w:t>6、错情排查方案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错情排查方案（包括但不限于错情排查制度、错情排查措施等）情况，由评委进行评分：方案内容完整、清晰的阐述项目基本要求，同时在确保方案实施的基础上增加有利于项目执行内容的得3分；方案内容较完整、清晰的阐述基本要求且符合项目实际操作的得2.8分；方案阐述简短或方案可操作性一般的得2.6分；未提供或提供方案不适用的不得分。</w:t>
            </w:r>
          </w:p>
        </w:tc>
      </w:tr>
      <w:tr>
        <w:tc>
          <w:tcPr>
            <w:tcW w:type="dxa" w:w="3322"/>
          </w:tcPr>
          <w:p>
            <w:pPr>
              <w:pStyle w:val="null3"/>
              <w:jc w:val="left"/>
            </w:pPr>
            <w:r>
              <w:rPr>
                <w:rFonts w:ascii="仿宋_GB2312" w:hAnsi="仿宋_GB2312" w:cs="仿宋_GB2312" w:eastAsia="仿宋_GB2312"/>
              </w:rPr>
              <w:t>7、推广方案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推广方案（包括但不限于推广内容、推广流程、推广形式等方面）情况，由评委进行评分：方案内容完整、清晰的阐述项目基本要求，同时在确保方案实施的基础上增加有利于项目执行内容的得3分；方案内容较完整、清晰的阐述基本要求且符合项目实际操作的得2.8分；方案阐述简短或方案可操作性一般的得2.6分；未提供或提供方案不适用的不得分。</w:t>
            </w:r>
          </w:p>
        </w:tc>
      </w:tr>
      <w:tr>
        <w:tc>
          <w:tcPr>
            <w:tcW w:type="dxa" w:w="3322"/>
          </w:tcPr>
          <w:p>
            <w:pPr>
              <w:pStyle w:val="null3"/>
              <w:jc w:val="left"/>
            </w:pPr>
            <w:r>
              <w:rPr>
                <w:rFonts w:ascii="仿宋_GB2312" w:hAnsi="仿宋_GB2312" w:cs="仿宋_GB2312" w:eastAsia="仿宋_GB2312"/>
              </w:rPr>
              <w:t>8、信息处置方案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投标人针对本项目提供的微信公众号信息处置方案（包括但不限于：预警防范方式、监测流程、计划、保障措施），由评委进行评分：方案内容完整、清晰的阐述项目基本要求，同时在确保方案实施的基础上增加有利于项目执行内容的得3分；方案内容较完整、清晰的阐述基本要求且符合项目实际操作的得2.8分；方案阐述简短或方案可操作性一般的得2.6分；未提供或提供方案不适用的不得分。</w:t>
            </w:r>
          </w:p>
        </w:tc>
      </w:tr>
      <w:tr>
        <w:tc>
          <w:tcPr>
            <w:tcW w:type="dxa" w:w="3322"/>
          </w:tcPr>
          <w:p>
            <w:pPr>
              <w:pStyle w:val="null3"/>
              <w:jc w:val="left"/>
            </w:pPr>
            <w:r>
              <w:rPr>
                <w:rFonts w:ascii="仿宋_GB2312" w:hAnsi="仿宋_GB2312" w:cs="仿宋_GB2312" w:eastAsia="仿宋_GB2312"/>
              </w:rPr>
              <w:t>9、项目负责人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派本项目负责人具有新闻采编从业资格证的得1分；发表的作品曾获得“省级及以上新闻奖”的，每提供1份奖项的得1分，奖项得分满分2分。本项满分3分。注：须提供证书复印件、荣誉证明以及首次响应文件递交截止时间前六个月的任意一个月（不含首次响应文件递交截止时间当月）供应商为其缴交社保的证明材料，未提供证明材料或提供不全的不得分。</w:t>
            </w:r>
          </w:p>
        </w:tc>
      </w:tr>
      <w:tr>
        <w:tc>
          <w:tcPr>
            <w:tcW w:type="dxa" w:w="3322"/>
          </w:tcPr>
          <w:p>
            <w:pPr>
              <w:pStyle w:val="null3"/>
              <w:jc w:val="left"/>
            </w:pPr>
            <w:r>
              <w:rPr>
                <w:rFonts w:ascii="仿宋_GB2312" w:hAnsi="仿宋_GB2312" w:cs="仿宋_GB2312" w:eastAsia="仿宋_GB2312"/>
              </w:rPr>
              <w:t>10、运营团队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本项目的项目团队成员（不含项目负责人），具有新闻传播学类或设计学类或中国语言文学类专业的本科及以上学历证明，每提供1人的得1分,满分3分。注：①须提供人员证书以及首次响应文件递交截止时间前六个月的任意一个月（不含首次响应文件递交截止时间当月）供应商为其缴交社保的证明材料，未提供证明材料或提供不全的不得分。②专业参考普通高等学校本科专业目录（2025年），若存在教育部对专业进行优化调整的情况，需提供相应证明材料。</w:t>
            </w:r>
          </w:p>
        </w:tc>
      </w:tr>
      <w:tr>
        <w:tc>
          <w:tcPr>
            <w:tcW w:type="dxa" w:w="3322"/>
          </w:tcPr>
          <w:p>
            <w:pPr>
              <w:pStyle w:val="null3"/>
              <w:jc w:val="left"/>
            </w:pPr>
            <w:r>
              <w:rPr>
                <w:rFonts w:ascii="仿宋_GB2312" w:hAnsi="仿宋_GB2312" w:cs="仿宋_GB2312" w:eastAsia="仿宋_GB2312"/>
              </w:rPr>
              <w:t>11、团队配置情况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为保障服务品质及正常履约的需要，供应商需对拟投入该项目工作人员合理分工作出计划，根据供应商对本项目拟投入人员配置、分工情况，由评委进行评分：提供的人员信息具体齐全，服务团队架构完整、合理，团队人员同类项目经验丰富的得3分；提供人员信息完整，服务团队架构完整、合理，团队人员经验较丰富得2.9分；有提供人员信息，团队人员有同类项目经验的得2.8分，未提供不得分。注：供应商需列表说明配置人员信息，包括但不限于姓名、性别、身份证号、年龄、工作经验。</w:t>
            </w:r>
          </w:p>
        </w:tc>
      </w:tr>
      <w:tr>
        <w:tc>
          <w:tcPr>
            <w:tcW w:type="dxa" w:w="3322"/>
          </w:tcPr>
          <w:p>
            <w:pPr>
              <w:pStyle w:val="null3"/>
              <w:jc w:val="left"/>
            </w:pPr>
            <w:r>
              <w:rPr>
                <w:rFonts w:ascii="仿宋_GB2312" w:hAnsi="仿宋_GB2312" w:cs="仿宋_GB2312" w:eastAsia="仿宋_GB2312"/>
              </w:rPr>
              <w:t>12、考核方案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拟投入人员考核方案（包括但不限：日常考核办法、奖惩措施、综合考核办法）情况，由评委进行评分：方案内容完整、清晰的阐述项目基本要求，同时在确保方案实施的基础上增加有利于项目执行内容的得3分；方案内容较完整、清晰的阐述基本要求且符合项目实际操作的得2.9分；方案阐述简短或方案可操作性一般的得2.8分；未提供或提供方案不适用的不得分。</w:t>
            </w:r>
          </w:p>
        </w:tc>
      </w:tr>
    </w:tbl>
    <w:p>
      <w:pPr>
        <w:pStyle w:val="null3"/>
        <w:jc w:val="left"/>
      </w:pPr>
      <w:r>
        <w:rPr>
          <w:rFonts w:ascii="仿宋_GB2312" w:hAnsi="仿宋_GB2312" w:cs="仿宋_GB2312" w:eastAsia="仿宋_GB2312"/>
        </w:rPr>
        <w:t>商务部分评分PB 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1、紧急响应</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如果遇到紧急情况下接到采购人通知1小时内（含）赶到采购人指定地点的得3分；1小时＜接到采购人通知赶到采购人指定地点≤1.5小时的得2分；1.5小时＜接到采购人通知赶到采购人指定地点≤2小时的得1分，其余情况不得分。【供应商须提供承诺函（格式自拟）并加盖供应商公章，否则不得分。】</w:t>
            </w:r>
          </w:p>
        </w:tc>
      </w:tr>
      <w:tr>
        <w:tc>
          <w:tcPr>
            <w:tcW w:type="dxa" w:w="3322"/>
          </w:tcPr>
          <w:p>
            <w:pPr>
              <w:pStyle w:val="null3"/>
              <w:jc w:val="left"/>
            </w:pPr>
            <w:r>
              <w:rPr>
                <w:rFonts w:ascii="仿宋_GB2312" w:hAnsi="仿宋_GB2312" w:cs="仿宋_GB2312" w:eastAsia="仿宋_GB2312"/>
              </w:rPr>
              <w:t>2、媒体平台推广成功案例</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以往同类型项目在央级媒体总网推送的成功案例情况评分：3次或以上在央级媒体总网推送的得3分，2次在央级媒体总网推送的得2分，1次在央级媒体总网推送的得1分。【供应商须同时提供：①供应商与合作方同类型项目项目合同复印件（供应商须同时提供中标/成交公告(提供相关网站中标/成交公告的下载网页并注明网址）;②成功在央级媒体总网推送证明截图（或复印件）;③推送项目服务期间供应商与央级媒体合作协议复印件(或推送项目服务期间与央级媒体其他证明材料）。未同时提供以上材料的或提供材料不符的不得分。】</w:t>
            </w:r>
          </w:p>
        </w:tc>
      </w:tr>
      <w:tr>
        <w:tc>
          <w:tcPr>
            <w:tcW w:type="dxa" w:w="3322"/>
          </w:tcPr>
          <w:p>
            <w:pPr>
              <w:pStyle w:val="null3"/>
              <w:jc w:val="left"/>
            </w:pPr>
            <w:r>
              <w:rPr>
                <w:rFonts w:ascii="仿宋_GB2312" w:hAnsi="仿宋_GB2312" w:cs="仿宋_GB2312" w:eastAsia="仿宋_GB2312"/>
              </w:rPr>
              <w:t>3、同类项目业绩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自2022年1月1日起至本项目首次响应文件递交截止时间止（日期以验收完成时间为准），由供应商所完成的与本次同类项目业绩情况进行评分：每提供1份完整业绩证明材料的得1分，满分3分。【注：①供应商须同时提供中标/成交公告(提供相关网站中标/成交公告的下载网页并注明网址)、中标/成交通知书复印件、采购合同文本复印件，以及能够证明该业绩项目已经采购人验收合格的相关证明文件复印件，未同时提供以上证明材料的本项不得分。②“3、同类项目业绩”与“4、满意度评价”不重复得分。】</w:t>
            </w:r>
          </w:p>
        </w:tc>
      </w:tr>
      <w:tr>
        <w:tc>
          <w:tcPr>
            <w:tcW w:type="dxa" w:w="3322"/>
          </w:tcPr>
          <w:p>
            <w:pPr>
              <w:pStyle w:val="null3"/>
              <w:jc w:val="left"/>
            </w:pPr>
            <w:r>
              <w:rPr>
                <w:rFonts w:ascii="仿宋_GB2312" w:hAnsi="仿宋_GB2312" w:cs="仿宋_GB2312" w:eastAsia="仿宋_GB2312"/>
              </w:rPr>
              <w:t>4、满意度评价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所提供的自2022年1月1日起至本项目首次响应文件递交截止时间止(日期以用户满意度评价证明材料时间为准)，由供应商所完成的与本次同类项目的用户满意度评价情况进行评分：每提供1份符合的证明材料的得1分，满分3分。提供的用户评价为“优秀”或者“满意”或者“好”或者“良好”或者同类意思表述的均可；【注：①供应商须同时提供项目的中标/成交公告(提供相关网站中标/成交公告的下载网页并注明网址)、中标/成交通知书复印件、采购合同文本复印件，以及能够证明该项目已经采购人验收合格的相关证明文件复印件，未同时提供以上证明材料的本项不得分。②同一业主单位出具的满意度证明只计算一次。③“3、同类项目业绩”与“4、满意度评价”不重复得分。】</w:t>
            </w:r>
          </w:p>
        </w:tc>
      </w:tr>
      <w:tr>
        <w:tc>
          <w:tcPr>
            <w:tcW w:type="dxa" w:w="3322"/>
          </w:tcPr>
          <w:p>
            <w:pPr>
              <w:pStyle w:val="null3"/>
              <w:jc w:val="left"/>
            </w:pPr>
            <w:r>
              <w:rPr>
                <w:rFonts w:ascii="仿宋_GB2312" w:hAnsi="仿宋_GB2312" w:cs="仿宋_GB2312" w:eastAsia="仿宋_GB2312"/>
              </w:rPr>
              <w:t>5、服务承诺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供应商承诺每个月到采购人所在单位进行服务回访，并按照其提出的意见建议对运营工作进行完善并改进的得3分。供应商须提供承诺函（格式自拟），未提供的不得分。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供应商的技术部分实际得分少于磋商文件设定的技术部分总分50%的，将被视为未实质性响应竞争性磋商文件规定，其响应文件将被否决；</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响应文件未按照磋商文件规定要求签署、盖章的；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属于磋商文件规定磋商小组应否决其投标的情形；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明显不符合技术规格、技术标准的要求；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违反磋商文件中载明“响应文件无效”（“响应无效/无效响应”）条款的规定或不符合磋商文件中规定的其它实质性条款，其响应无效。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磋商文件第三章“三、商务条件”中内容属于实质性要求，出现负偏离的，按无效处理；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响应文件未按照磋商文件规定要求签署、盖章的；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属于磋商文件规定磋商小组应否决其投标的情形；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违反磋商文件中载明“响应文件无效”（“响应无效/无效响应”）条款的规定或不符合磋商文件中规定的其它实质性条款，其响应无效。</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供应商报价超过最高限价的；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小组认为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rPr>
        <w:t>本项目为福州市人社局媒体宣传（公众号运维）项目，服务期一年。</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0"/>
          <w:b/>
        </w:rPr>
        <w:t>（一）公众号运营</w:t>
      </w:r>
    </w:p>
    <w:p>
      <w:pPr>
        <w:pStyle w:val="null3"/>
        <w:ind w:firstLine="480"/>
        <w:jc w:val="both"/>
      </w:pPr>
      <w:r>
        <w:rPr>
          <w:rFonts w:ascii="仿宋_GB2312" w:hAnsi="仿宋_GB2312" w:cs="仿宋_GB2312" w:eastAsia="仿宋_GB2312"/>
          <w:sz w:val="20"/>
          <w:shd w:fill="FFFFFF" w:val="clear"/>
        </w:rPr>
        <w:t>★</w:t>
      </w:r>
      <w:r>
        <w:rPr>
          <w:rFonts w:ascii="仿宋_GB2312" w:hAnsi="仿宋_GB2312" w:cs="仿宋_GB2312" w:eastAsia="仿宋_GB2312"/>
          <w:sz w:val="20"/>
        </w:rPr>
        <w:t>1、为便于开展工作，指派资深编辑人员负责微信公号相关的信息联络及收集工作，确保新闻素材的及时性、准确性、高效性。</w:t>
      </w:r>
    </w:p>
    <w:p>
      <w:pPr>
        <w:pStyle w:val="null3"/>
        <w:ind w:firstLine="480"/>
        <w:jc w:val="both"/>
      </w:pPr>
      <w:r>
        <w:rPr>
          <w:rFonts w:ascii="仿宋_GB2312" w:hAnsi="仿宋_GB2312" w:cs="仿宋_GB2312" w:eastAsia="仿宋_GB2312"/>
          <w:sz w:val="20"/>
        </w:rPr>
        <w:t>【评审项</w:t>
      </w:r>
      <w:r>
        <w:rPr>
          <w:rFonts w:ascii="仿宋_GB2312" w:hAnsi="仿宋_GB2312" w:cs="仿宋_GB2312" w:eastAsia="仿宋_GB2312"/>
          <w:sz w:val="20"/>
        </w:rPr>
        <w:t>1】2、与采购人相关处室建立信息互动渠道，时时采集相关部门网站、主流媒体有价值的信息，建立信息素材库。</w:t>
      </w:r>
    </w:p>
    <w:p>
      <w:pPr>
        <w:pStyle w:val="null3"/>
        <w:ind w:firstLine="480"/>
        <w:jc w:val="both"/>
      </w:pPr>
      <w:r>
        <w:rPr>
          <w:rFonts w:ascii="仿宋_GB2312" w:hAnsi="仿宋_GB2312" w:cs="仿宋_GB2312" w:eastAsia="仿宋_GB2312"/>
          <w:sz w:val="20"/>
        </w:rPr>
        <w:t>【评审项</w:t>
      </w:r>
      <w:r>
        <w:rPr>
          <w:rFonts w:ascii="仿宋_GB2312" w:hAnsi="仿宋_GB2312" w:cs="仿宋_GB2312" w:eastAsia="仿宋_GB2312"/>
          <w:sz w:val="20"/>
        </w:rPr>
        <w:t>2】3、排版设计。供应商结合微信公众号账号的文化形象，负责发布内容的布局策划、排版美化、配图配色优化、宣传配图设计等工作。</w:t>
      </w:r>
    </w:p>
    <w:p>
      <w:pPr>
        <w:pStyle w:val="null3"/>
        <w:ind w:firstLine="480"/>
        <w:jc w:val="both"/>
      </w:pPr>
      <w:r>
        <w:rPr>
          <w:rFonts w:ascii="仿宋_GB2312" w:hAnsi="仿宋_GB2312" w:cs="仿宋_GB2312" w:eastAsia="仿宋_GB2312"/>
          <w:sz w:val="20"/>
        </w:rPr>
        <w:t>【评审项</w:t>
      </w:r>
      <w:r>
        <w:rPr>
          <w:rFonts w:ascii="仿宋_GB2312" w:hAnsi="仿宋_GB2312" w:cs="仿宋_GB2312" w:eastAsia="仿宋_GB2312"/>
          <w:sz w:val="20"/>
        </w:rPr>
        <w:t>3】4、供应商需严格按照微信文章发布管理工作规范，完成微信图文进行发布前的多级审核工作，根据要求完成发布前的审核、修改和校对工作，直至达到发布要求。</w:t>
      </w:r>
    </w:p>
    <w:p>
      <w:pPr>
        <w:pStyle w:val="null3"/>
        <w:ind w:firstLine="480"/>
        <w:jc w:val="both"/>
      </w:pPr>
      <w:r>
        <w:rPr>
          <w:rFonts w:ascii="仿宋_GB2312" w:hAnsi="仿宋_GB2312" w:cs="仿宋_GB2312" w:eastAsia="仿宋_GB2312"/>
          <w:sz w:val="20"/>
          <w:shd w:fill="FFFFFF" w:val="clear"/>
        </w:rPr>
        <w:t>★</w:t>
      </w:r>
      <w:r>
        <w:rPr>
          <w:rFonts w:ascii="仿宋_GB2312" w:hAnsi="仿宋_GB2312" w:cs="仿宋_GB2312" w:eastAsia="仿宋_GB2312"/>
          <w:sz w:val="20"/>
        </w:rPr>
        <w:t>5、所有内容须经采购人审核通过后方可发布。</w:t>
      </w:r>
    </w:p>
    <w:p>
      <w:pPr>
        <w:pStyle w:val="null3"/>
        <w:ind w:firstLine="480"/>
        <w:jc w:val="both"/>
      </w:pPr>
      <w:r>
        <w:rPr>
          <w:rFonts w:ascii="仿宋_GB2312" w:hAnsi="仿宋_GB2312" w:cs="仿宋_GB2312" w:eastAsia="仿宋_GB2312"/>
          <w:sz w:val="20"/>
          <w:shd w:fill="FFFFFF" w:val="clear"/>
        </w:rPr>
        <w:t>★</w:t>
      </w:r>
      <w:r>
        <w:rPr>
          <w:rFonts w:ascii="仿宋_GB2312" w:hAnsi="仿宋_GB2312" w:cs="仿宋_GB2312" w:eastAsia="仿宋_GB2312"/>
          <w:sz w:val="20"/>
        </w:rPr>
        <w:t>6、微信公众平台工作日每天推1次，每次1-3篇。</w:t>
      </w:r>
    </w:p>
    <w:p>
      <w:pPr>
        <w:pStyle w:val="null3"/>
        <w:ind w:firstLine="480"/>
      </w:pPr>
      <w:r>
        <w:rPr>
          <w:rFonts w:ascii="仿宋_GB2312" w:hAnsi="仿宋_GB2312" w:cs="仿宋_GB2312" w:eastAsia="仿宋_GB2312"/>
          <w:sz w:val="20"/>
        </w:rPr>
        <w:t>【评审项</w:t>
      </w:r>
      <w:r>
        <w:rPr>
          <w:rFonts w:ascii="仿宋_GB2312" w:hAnsi="仿宋_GB2312" w:cs="仿宋_GB2312" w:eastAsia="仿宋_GB2312"/>
          <w:sz w:val="20"/>
        </w:rPr>
        <w:t>4】7、保证日常推文的效率和质量，如有节假日和突发事件，需及时加推。</w:t>
      </w:r>
    </w:p>
    <w:p>
      <w:pPr>
        <w:pStyle w:val="null3"/>
        <w:ind w:firstLine="480"/>
        <w:jc w:val="both"/>
      </w:pPr>
      <w:r>
        <w:rPr>
          <w:rFonts w:ascii="仿宋_GB2312" w:hAnsi="仿宋_GB2312" w:cs="仿宋_GB2312" w:eastAsia="仿宋_GB2312"/>
          <w:sz w:val="20"/>
        </w:rPr>
        <w:t>【评审项</w:t>
      </w:r>
      <w:r>
        <w:rPr>
          <w:rFonts w:ascii="仿宋_GB2312" w:hAnsi="仿宋_GB2312" w:cs="仿宋_GB2312" w:eastAsia="仿宋_GB2312"/>
          <w:sz w:val="20"/>
        </w:rPr>
        <w:t>5】8、公众号文章编辑。编辑人员负责公众号日常的文章发布（包含转载及原创文章）、定期做好微信后台管理、页面更新设计，活动采编等，采购人提供的原创文章，供应商应进行内容提升并给予准确编辑上稿。</w:t>
      </w:r>
    </w:p>
    <w:p>
      <w:pPr>
        <w:pStyle w:val="null3"/>
        <w:ind w:firstLine="480"/>
        <w:jc w:val="both"/>
      </w:pPr>
      <w:r>
        <w:rPr>
          <w:rFonts w:ascii="仿宋_GB2312" w:hAnsi="仿宋_GB2312" w:cs="仿宋_GB2312" w:eastAsia="仿宋_GB2312"/>
          <w:sz w:val="20"/>
        </w:rPr>
        <w:t>【评审项</w:t>
      </w:r>
      <w:r>
        <w:rPr>
          <w:rFonts w:ascii="仿宋_GB2312" w:hAnsi="仿宋_GB2312" w:cs="仿宋_GB2312" w:eastAsia="仿宋_GB2312"/>
          <w:sz w:val="20"/>
        </w:rPr>
        <w:t>6】9、参与日常工作。运维人员应参与采购人召开的非涉密重要会议、活动等，进一步熟悉采购人工作内容，并负责撰写会议、活动宣传稿件。</w:t>
      </w:r>
    </w:p>
    <w:p>
      <w:pPr>
        <w:pStyle w:val="null3"/>
        <w:ind w:firstLine="480"/>
        <w:jc w:val="both"/>
      </w:pPr>
      <w:r>
        <w:rPr>
          <w:rFonts w:ascii="仿宋_GB2312" w:hAnsi="仿宋_GB2312" w:cs="仿宋_GB2312" w:eastAsia="仿宋_GB2312"/>
          <w:sz w:val="20"/>
        </w:rPr>
        <w:t>【评审项</w:t>
      </w:r>
      <w:r>
        <w:rPr>
          <w:rFonts w:ascii="仿宋_GB2312" w:hAnsi="仿宋_GB2312" w:cs="仿宋_GB2312" w:eastAsia="仿宋_GB2312"/>
          <w:sz w:val="20"/>
        </w:rPr>
        <w:t>7】10、提升稿件质量。运维人员对于采购人相关处室提供的新闻报道，属于简单叙事的，将进一步从该项工作的目的意义、全年性成效、下一步做法等方面丰富内容。</w:t>
      </w:r>
    </w:p>
    <w:p>
      <w:pPr>
        <w:pStyle w:val="null3"/>
        <w:ind w:firstLine="480"/>
        <w:jc w:val="both"/>
      </w:pPr>
      <w:r>
        <w:rPr>
          <w:rFonts w:ascii="仿宋_GB2312" w:hAnsi="仿宋_GB2312" w:cs="仿宋_GB2312" w:eastAsia="仿宋_GB2312"/>
          <w:sz w:val="20"/>
        </w:rPr>
        <w:t>【评审项</w:t>
      </w:r>
      <w:r>
        <w:rPr>
          <w:rFonts w:ascii="仿宋_GB2312" w:hAnsi="仿宋_GB2312" w:cs="仿宋_GB2312" w:eastAsia="仿宋_GB2312"/>
          <w:sz w:val="20"/>
        </w:rPr>
        <w:t>8】11、畅通协调机制。供应商项目负责人、编辑人员、采购人工作人员建立微信群，保持畅通的联系机制，确保及时协调解决宣传有关事宜，提升报道的时效性。</w:t>
      </w:r>
    </w:p>
    <w:p>
      <w:pPr>
        <w:pStyle w:val="null3"/>
        <w:ind w:firstLine="480"/>
        <w:jc w:val="both"/>
      </w:pPr>
      <w:r>
        <w:rPr>
          <w:rFonts w:ascii="仿宋_GB2312" w:hAnsi="仿宋_GB2312" w:cs="仿宋_GB2312" w:eastAsia="仿宋_GB2312"/>
          <w:sz w:val="20"/>
          <w:shd w:fill="FFFFFF" w:val="clear"/>
        </w:rPr>
        <w:t>★</w:t>
      </w:r>
      <w:r>
        <w:rPr>
          <w:rFonts w:ascii="仿宋_GB2312" w:hAnsi="仿宋_GB2312" w:cs="仿宋_GB2312" w:eastAsia="仿宋_GB2312"/>
          <w:sz w:val="20"/>
        </w:rPr>
        <w:t>12、为便于工作对接，供应商安排公众号运维人员每周3天到采购人指定地点办公，与采购人相关处室、中心对接联络。</w:t>
      </w:r>
    </w:p>
    <w:p>
      <w:pPr>
        <w:pStyle w:val="null3"/>
        <w:ind w:firstLine="480"/>
        <w:jc w:val="both"/>
      </w:pPr>
      <w:r>
        <w:rPr>
          <w:rFonts w:ascii="仿宋_GB2312" w:hAnsi="仿宋_GB2312" w:cs="仿宋_GB2312" w:eastAsia="仿宋_GB2312"/>
          <w:sz w:val="20"/>
          <w:shd w:fill="FFFFFF" w:val="clear"/>
        </w:rPr>
        <w:t>★</w:t>
      </w:r>
      <w:r>
        <w:rPr>
          <w:rFonts w:ascii="仿宋_GB2312" w:hAnsi="仿宋_GB2312" w:cs="仿宋_GB2312" w:eastAsia="仿宋_GB2312"/>
          <w:sz w:val="20"/>
        </w:rPr>
        <w:t>13、为促进信息有效传播，供应商应提高文章的阅读量，服务期内完成2篇10万+阅读量的推文。</w:t>
      </w:r>
    </w:p>
    <w:p>
      <w:pPr>
        <w:pStyle w:val="null3"/>
        <w:ind w:firstLine="482"/>
        <w:jc w:val="both"/>
      </w:pPr>
      <w:r>
        <w:rPr>
          <w:rFonts w:ascii="仿宋_GB2312" w:hAnsi="仿宋_GB2312" w:cs="仿宋_GB2312" w:eastAsia="仿宋_GB2312"/>
          <w:sz w:val="20"/>
          <w:b/>
        </w:rPr>
        <w:t>（二）宣传推广</w:t>
      </w:r>
    </w:p>
    <w:p>
      <w:pPr>
        <w:pStyle w:val="null3"/>
        <w:ind w:firstLine="480"/>
        <w:jc w:val="both"/>
      </w:pPr>
      <w:r>
        <w:rPr>
          <w:rFonts w:ascii="仿宋_GB2312" w:hAnsi="仿宋_GB2312" w:cs="仿宋_GB2312" w:eastAsia="仿宋_GB2312"/>
          <w:sz w:val="20"/>
        </w:rPr>
        <w:t>★1、配合福州市人社局的日常宣传需要，发挥媒体平台优势，在省级及以上的媒体推送10篇（至少3篇或以上在央级媒体推送）福州市人社局相关文章。供应商在服务履约六个月内需完成5篇或以上在省级及以上的媒体（至少</w:t>
      </w:r>
      <w:r>
        <w:rPr>
          <w:rFonts w:ascii="仿宋_GB2312" w:hAnsi="仿宋_GB2312" w:cs="仿宋_GB2312" w:eastAsia="仿宋_GB2312"/>
          <w:sz w:val="20"/>
        </w:rPr>
        <w:t>1</w:t>
      </w:r>
      <w:r>
        <w:rPr>
          <w:rFonts w:ascii="仿宋_GB2312" w:hAnsi="仿宋_GB2312" w:cs="仿宋_GB2312" w:eastAsia="仿宋_GB2312"/>
          <w:sz w:val="20"/>
        </w:rPr>
        <w:t>篇或以上在央级媒体推送）</w:t>
      </w:r>
      <w:r>
        <w:rPr>
          <w:rFonts w:ascii="仿宋_GB2312" w:hAnsi="仿宋_GB2312" w:cs="仿宋_GB2312" w:eastAsia="仿宋_GB2312"/>
          <w:sz w:val="20"/>
        </w:rPr>
        <w:t>推送福州市人社局相关文章。</w:t>
      </w:r>
    </w:p>
    <w:p>
      <w:pPr>
        <w:pStyle w:val="null3"/>
        <w:ind w:firstLine="480"/>
        <w:jc w:val="both"/>
      </w:pPr>
      <w:r>
        <w:rPr>
          <w:rFonts w:ascii="仿宋_GB2312" w:hAnsi="仿宋_GB2312" w:cs="仿宋_GB2312" w:eastAsia="仿宋_GB2312"/>
          <w:sz w:val="20"/>
        </w:rPr>
        <w:t>【评审项</w:t>
      </w:r>
      <w:r>
        <w:rPr>
          <w:rFonts w:ascii="仿宋_GB2312" w:hAnsi="仿宋_GB2312" w:cs="仿宋_GB2312" w:eastAsia="仿宋_GB2312"/>
          <w:sz w:val="20"/>
        </w:rPr>
        <w:t>9】2、安排专人与采购人对接宣传工作，结合福州市人社局的相关工作热点，撰写日常宣传互动传播稿件。</w:t>
      </w:r>
    </w:p>
    <w:p>
      <w:pPr>
        <w:pStyle w:val="null3"/>
        <w:ind w:firstLine="482"/>
      </w:pPr>
      <w:r>
        <w:rPr>
          <w:rFonts w:ascii="仿宋_GB2312" w:hAnsi="仿宋_GB2312" w:cs="仿宋_GB2312" w:eastAsia="仿宋_GB2312"/>
          <w:sz w:val="20"/>
          <w:b/>
        </w:rPr>
        <w:t>（三）其它相关要求</w:t>
      </w:r>
    </w:p>
    <w:p>
      <w:pPr>
        <w:pStyle w:val="null3"/>
        <w:ind w:firstLine="480"/>
      </w:pPr>
      <w:r>
        <w:rPr>
          <w:rFonts w:ascii="仿宋_GB2312" w:hAnsi="仿宋_GB2312" w:cs="仿宋_GB2312" w:eastAsia="仿宋_GB2312"/>
          <w:sz w:val="20"/>
        </w:rPr>
        <w:t>【评审项</w:t>
      </w:r>
      <w:r>
        <w:rPr>
          <w:rFonts w:ascii="仿宋_GB2312" w:hAnsi="仿宋_GB2312" w:cs="仿宋_GB2312" w:eastAsia="仿宋_GB2312"/>
          <w:sz w:val="20"/>
        </w:rPr>
        <w:t>10】1、本次公众号运营服务成交供应商须遵循新闻宣传纪律，确保作在运营过程中始终坚持正确的政治方向、舆论导向和价值取向，弘扬正能量。</w:t>
      </w:r>
    </w:p>
    <w:p>
      <w:pPr>
        <w:pStyle w:val="null3"/>
        <w:ind w:firstLine="480"/>
      </w:pPr>
      <w:r>
        <w:rPr>
          <w:rFonts w:ascii="仿宋_GB2312" w:hAnsi="仿宋_GB2312" w:cs="仿宋_GB2312" w:eastAsia="仿宋_GB2312"/>
          <w:sz w:val="20"/>
        </w:rPr>
        <w:t>【评审项</w:t>
      </w:r>
      <w:r>
        <w:rPr>
          <w:rFonts w:ascii="仿宋_GB2312" w:hAnsi="仿宋_GB2312" w:cs="仿宋_GB2312" w:eastAsia="仿宋_GB2312"/>
          <w:sz w:val="20"/>
        </w:rPr>
        <w:t>11】2、运营团队需配备优秀的内容运营专员，对人力资源和社会保障的相关政策和信息有一定的敏感度和创新意识，为微信公众号日常运营提供足够的内容支持。</w:t>
      </w:r>
    </w:p>
    <w:p>
      <w:pPr>
        <w:pStyle w:val="null3"/>
        <w:ind w:firstLine="480"/>
      </w:pPr>
      <w:r>
        <w:rPr>
          <w:rFonts w:ascii="仿宋_GB2312" w:hAnsi="仿宋_GB2312" w:cs="仿宋_GB2312" w:eastAsia="仿宋_GB2312"/>
          <w:sz w:val="20"/>
        </w:rPr>
        <w:t>【评审项</w:t>
      </w:r>
      <w:r>
        <w:rPr>
          <w:rFonts w:ascii="仿宋_GB2312" w:hAnsi="仿宋_GB2312" w:cs="仿宋_GB2312" w:eastAsia="仿宋_GB2312"/>
          <w:sz w:val="20"/>
        </w:rPr>
        <w:t>12】3、运维人员工作由采购人统筹安排。运维人员应有较强的服务意识、团队协作精神及责任心，具备良好的沟通能力。</w:t>
      </w:r>
    </w:p>
    <w:p>
      <w:pPr>
        <w:pStyle w:val="null3"/>
        <w:ind w:firstLine="480"/>
      </w:pPr>
      <w:r>
        <w:rPr>
          <w:rFonts w:ascii="仿宋_GB2312" w:hAnsi="仿宋_GB2312" w:cs="仿宋_GB2312" w:eastAsia="仿宋_GB2312"/>
          <w:sz w:val="20"/>
        </w:rPr>
        <w:t>【评审项</w:t>
      </w:r>
      <w:r>
        <w:rPr>
          <w:rFonts w:ascii="仿宋_GB2312" w:hAnsi="仿宋_GB2312" w:cs="仿宋_GB2312" w:eastAsia="仿宋_GB2312"/>
          <w:sz w:val="20"/>
        </w:rPr>
        <w:t>13】4、供应商及运维人员需提供真实身份证明，在合同期间内须签订保密协议，并遵守信息发布保密审查规定。</w:t>
      </w:r>
    </w:p>
    <w:p>
      <w:pPr>
        <w:pStyle w:val="null3"/>
        <w:ind w:firstLine="480"/>
      </w:pPr>
      <w:r>
        <w:rPr>
          <w:rFonts w:ascii="仿宋_GB2312" w:hAnsi="仿宋_GB2312" w:cs="仿宋_GB2312" w:eastAsia="仿宋_GB2312"/>
          <w:sz w:val="20"/>
        </w:rPr>
        <w:t>★5、成交供应商无正当理由不得随意更换运维人员；若采购人因业务量完成度、工作配合度等对运维人员工作不满意，经3次沟通无果后，有权要求更换运维人员，并且在7日内配齐岗位人员。若7日内未配齐岗位人员，采购人有权解除合同，同时成交供应商应向采购人退回未履约部分的合同金额，并支付合同总金额的20%赔偿金。</w:t>
      </w:r>
      <w:r>
        <w:rPr>
          <w:rFonts w:ascii="仿宋_GB2312" w:hAnsi="仿宋_GB2312" w:cs="仿宋_GB2312" w:eastAsia="仿宋_GB2312"/>
          <w:sz w:val="20"/>
          <w:b/>
        </w:rPr>
        <w:t>【供应商须提供专项承诺函（格式自拟），未提供承诺函则视为响应无效。】</w:t>
      </w:r>
    </w:p>
    <w:p>
      <w:pPr>
        <w:pStyle w:val="null3"/>
        <w:ind w:firstLine="480"/>
      </w:pPr>
      <w:r>
        <w:rPr>
          <w:rFonts w:ascii="仿宋_GB2312" w:hAnsi="仿宋_GB2312" w:cs="仿宋_GB2312" w:eastAsia="仿宋_GB2312"/>
          <w:sz w:val="20"/>
        </w:rPr>
        <w:t>【评审项</w:t>
      </w:r>
      <w:r>
        <w:rPr>
          <w:rFonts w:ascii="仿宋_GB2312" w:hAnsi="仿宋_GB2312" w:cs="仿宋_GB2312" w:eastAsia="仿宋_GB2312"/>
          <w:sz w:val="20"/>
        </w:rPr>
        <w:t>14】6、在非工作时间要随时保持通讯畅通，并安排人员保障突发信息及情况的制作与处理。</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服务期一年。</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福州市仓山区南江滨西大道193号1栋5，6，7，9层。</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按照采购文件、响应文件及合同标准要求执行。</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1、期次1，说明：按采购文件、响应文件、合同及国家相关法律法规行业标准验收。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1、签订合同并项目履约一个月后，成交供应商向采购人提供正式增值税发票等材料，达到付款条件起14日内，支付合同总金额的50.00%</w:t>
            </w:r>
          </w:p>
          <w:p>
            <w:pPr>
              <w:pStyle w:val="null3"/>
            </w:pPr>
            <w:r>
              <w:rPr>
                <w:rFonts w:ascii="仿宋_GB2312" w:hAnsi="仿宋_GB2312" w:cs="仿宋_GB2312" w:eastAsia="仿宋_GB2312"/>
              </w:rPr>
              <w:t>2、服务期限结束且验收合格后，双方无未了事宜或争议事项，由成交供应商向采购人提供正式增值税发票等材料后，达到付款条件起14日内，支付合同总金额的50.00%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★8.其他事项说明</w:t>
      </w:r>
    </w:p>
    <w:p>
      <w:pPr>
        <w:pStyle w:val="null3"/>
        <w:ind w:firstLine="480"/>
      </w:pPr>
      <w:r>
        <w:rPr>
          <w:rFonts w:ascii="仿宋_GB2312" w:hAnsi="仿宋_GB2312" w:cs="仿宋_GB2312" w:eastAsia="仿宋_GB2312"/>
          <w:sz w:val="20"/>
        </w:rPr>
        <w:t>8.1供应商须承诺，采购人与供应商委派的工作人员不存在劳动关系，如果发生职业危害、意外事故造成人员伤亡等事故，由供应商承担全部安全责任和经济赔偿责任。【</w:t>
      </w:r>
      <w:r>
        <w:rPr>
          <w:rFonts w:ascii="仿宋_GB2312" w:hAnsi="仿宋_GB2312" w:cs="仿宋_GB2312" w:eastAsia="仿宋_GB2312"/>
          <w:sz w:val="20"/>
          <w:b/>
        </w:rPr>
        <w:t>供应商须提供专项承诺函（格式自拟），未提供承诺函则视为响应无效。</w:t>
      </w:r>
      <w:r>
        <w:rPr>
          <w:rFonts w:ascii="仿宋_GB2312" w:hAnsi="仿宋_GB2312" w:cs="仿宋_GB2312" w:eastAsia="仿宋_GB2312"/>
          <w:sz w:val="20"/>
        </w:rPr>
        <w:t>】</w:t>
      </w:r>
    </w:p>
    <w:p>
      <w:pPr>
        <w:pStyle w:val="null3"/>
        <w:ind w:firstLine="480"/>
      </w:pPr>
      <w:r>
        <w:rPr>
          <w:rFonts w:ascii="仿宋_GB2312" w:hAnsi="仿宋_GB2312" w:cs="仿宋_GB2312" w:eastAsia="仿宋_GB2312"/>
          <w:sz w:val="20"/>
        </w:rPr>
        <w:t>8.2供应商违反国家相关法规，与聘用人员发生纠纷，由供应商自行负责调解与处理，采购人不承担任何责任。</w:t>
      </w:r>
    </w:p>
    <w:p>
      <w:pPr>
        <w:pStyle w:val="null3"/>
        <w:ind w:firstLine="480"/>
      </w:pPr>
      <w:r>
        <w:rPr>
          <w:rFonts w:ascii="仿宋_GB2312" w:hAnsi="仿宋_GB2312" w:cs="仿宋_GB2312" w:eastAsia="仿宋_GB2312"/>
          <w:sz w:val="20"/>
        </w:rPr>
        <w:t>★9、违约责任</w:t>
      </w:r>
    </w:p>
    <w:p>
      <w:pPr>
        <w:pStyle w:val="null3"/>
        <w:ind w:firstLine="480"/>
      </w:pPr>
      <w:r>
        <w:rPr>
          <w:rFonts w:ascii="仿宋_GB2312" w:hAnsi="仿宋_GB2312" w:cs="仿宋_GB2312" w:eastAsia="仿宋_GB2312"/>
          <w:sz w:val="20"/>
        </w:rPr>
        <w:t>9.1因成交供应商原因造成采购合同无法按时签订，视为成交供应商违约，成交供应商违约对采购人造成损失的，需另行支付相应的赔偿。</w:t>
      </w:r>
    </w:p>
    <w:p>
      <w:pPr>
        <w:pStyle w:val="null3"/>
        <w:ind w:firstLine="480"/>
      </w:pPr>
      <w:r>
        <w:rPr>
          <w:rFonts w:ascii="仿宋_GB2312" w:hAnsi="仿宋_GB2312" w:cs="仿宋_GB2312" w:eastAsia="仿宋_GB2312"/>
          <w:sz w:val="20"/>
        </w:rPr>
        <w:t>9.2在签定采购合同之后，成交供应商要求解除合同的，视为成交供应商违约，对采购人造成损失的，成交供应商需支付相应的赔偿。</w:t>
      </w:r>
    </w:p>
    <w:p>
      <w:pPr>
        <w:pStyle w:val="null3"/>
        <w:ind w:firstLine="480"/>
      </w:pPr>
      <w:r>
        <w:rPr>
          <w:rFonts w:ascii="仿宋_GB2312" w:hAnsi="仿宋_GB2312" w:cs="仿宋_GB2312" w:eastAsia="仿宋_GB2312"/>
          <w:sz w:val="20"/>
        </w:rPr>
        <w:t>9.3在明确违约责任后，成交供应商应在接到书面通知书起七天内支付违约金、赔偿金等。</w:t>
      </w:r>
    </w:p>
    <w:p>
      <w:pPr>
        <w:pStyle w:val="null3"/>
        <w:ind w:firstLine="480"/>
      </w:pPr>
      <w:r>
        <w:rPr>
          <w:rFonts w:ascii="仿宋_GB2312" w:hAnsi="仿宋_GB2312" w:cs="仿宋_GB2312" w:eastAsia="仿宋_GB2312"/>
          <w:sz w:val="20"/>
        </w:rPr>
        <w:t>★10、知识产权</w:t>
      </w:r>
    </w:p>
    <w:p>
      <w:pPr>
        <w:pStyle w:val="null3"/>
        <w:ind w:firstLine="480"/>
      </w:pPr>
      <w:r>
        <w:rPr>
          <w:rFonts w:ascii="仿宋_GB2312" w:hAnsi="仿宋_GB2312" w:cs="仿宋_GB2312" w:eastAsia="仿宋_GB2312"/>
          <w:sz w:val="20"/>
        </w:rPr>
        <w:t>10.1成交供应商提供的服务或使用的产品、软件等应符合国家知识产权法律、法规的规定；成交供应商须保证采购人不受到第三方关于侵犯知识产权及专利权、商标权或工业设计权等知识产权方面的指控，任何第三方如果提出此方面指控均与采购人无关，成交供应商须与第三方交涉，并承担可能发生的一切法律责任、费用和后果；若采购人因此而遭致损失，则成交供应商应赔偿该损失。</w:t>
      </w:r>
    </w:p>
    <w:p>
      <w:pPr>
        <w:pStyle w:val="null3"/>
        <w:ind w:firstLine="480"/>
      </w:pPr>
      <w:r>
        <w:rPr>
          <w:rFonts w:ascii="仿宋_GB2312" w:hAnsi="仿宋_GB2312" w:cs="仿宋_GB2312" w:eastAsia="仿宋_GB2312"/>
          <w:sz w:val="20"/>
        </w:rPr>
        <w:t>10.2若在该项目执行过程中，成交供应商和采购人共同创造性产出的成果，其知识产权共有。</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1、除采购文件另有规定外，若出现有关法律、法规和规章有强制性规定但采购文件未列明的情形，则磋商供应商应按照有关法律、法规和规章强制性规定执行。 2、其他：采购人在合同签订前，有权对成交供应商提供的证明资料（证书、报告等）原件进行复核。</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[350101]FJSXY[CS]2025005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福州市人社局媒体宣传（公众号运维）项目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1(福州市人社局媒体宣传（公众号运维）项目)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福州市人社局媒体宣传（公众号运维）项目</w:t>
            </w:r>
          </w:p>
        </w:tc>
        <w:tc>
          <w:tcPr>
            <w:tcW w:type="dxa" w:w="1661"/>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[350101]FJSXY[CS]2025005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福州市人社局媒体宣传（公众号运维）项目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福州市人社局媒体宣传（公众号运维）项目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福州人社公众号运维服务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福州人社公众号运维服务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